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631" w:type="pct"/>
        <w:tblInd w:w="-572" w:type="dxa"/>
        <w:tblLook w:val="04A0"/>
      </w:tblPr>
      <w:tblGrid>
        <w:gridCol w:w="2188"/>
        <w:gridCol w:w="8272"/>
      </w:tblGrid>
      <w:tr w:rsidR="003E480C" w:rsidRPr="003D44D8" w:rsidTr="0085763E">
        <w:trPr>
          <w:trHeight w:val="208"/>
        </w:trPr>
        <w:tc>
          <w:tcPr>
            <w:tcW w:w="5000" w:type="pct"/>
            <w:gridSpan w:val="2"/>
            <w:shd w:val="clear" w:color="auto" w:fill="DEEAF6" w:themeFill="accent1" w:themeFillTint="33"/>
          </w:tcPr>
          <w:p w:rsidR="003E480C" w:rsidRPr="003D44D8" w:rsidRDefault="004127DF" w:rsidP="004127DF">
            <w:pPr>
              <w:spacing w:after="120"/>
              <w:jc w:val="both"/>
              <w:rPr>
                <w:rFonts w:ascii="Times New Roman" w:hAnsi="Times New Roman" w:cs="Times New Roman"/>
                <w:b/>
              </w:rPr>
            </w:pPr>
            <w:r w:rsidRPr="004127DF">
              <w:rPr>
                <w:rFonts w:ascii="Times New Roman" w:hAnsi="Times New Roman" w:cs="Times New Roman"/>
                <w:b/>
              </w:rPr>
              <w:t>Цел на политиката (ЦП) 4 „По-социална Европа — реализиране на европейския стълб на социалните права“</w:t>
            </w:r>
            <w:r w:rsidR="003E480C" w:rsidRPr="003D44D8">
              <w:rPr>
                <w:rFonts w:ascii="Times New Roman" w:hAnsi="Times New Roman" w:cs="Times New Roman"/>
                <w:b/>
              </w:rPr>
              <w:t xml:space="preserve"> </w:t>
            </w:r>
          </w:p>
        </w:tc>
      </w:tr>
      <w:tr w:rsidR="003E480C" w:rsidRPr="003D44D8" w:rsidTr="0085763E">
        <w:trPr>
          <w:trHeight w:val="217"/>
        </w:trPr>
        <w:tc>
          <w:tcPr>
            <w:tcW w:w="5000" w:type="pct"/>
            <w:gridSpan w:val="2"/>
            <w:shd w:val="clear" w:color="auto" w:fill="DEEAF6" w:themeFill="accent1" w:themeFillTint="33"/>
          </w:tcPr>
          <w:p w:rsidR="003E480C" w:rsidRPr="003D44D8" w:rsidRDefault="001113C4" w:rsidP="0075132C">
            <w:pPr>
              <w:spacing w:after="120"/>
              <w:jc w:val="both"/>
              <w:rPr>
                <w:rFonts w:ascii="Times New Roman" w:hAnsi="Times New Roman" w:cs="Times New Roman"/>
                <w:b/>
              </w:rPr>
            </w:pPr>
            <w:r w:rsidRPr="001113C4">
              <w:rPr>
                <w:rFonts w:ascii="Times New Roman" w:hAnsi="Times New Roman" w:cs="Times New Roman"/>
                <w:b/>
              </w:rPr>
              <w:t xml:space="preserve">Специфична цел </w:t>
            </w:r>
            <w:r w:rsidR="0075132C">
              <w:rPr>
                <w:rFonts w:ascii="Times New Roman" w:hAnsi="Times New Roman" w:cs="Times New Roman"/>
                <w:b/>
                <w:lang w:val="en-US"/>
              </w:rPr>
              <w:t>v</w:t>
            </w:r>
            <w:r w:rsidRPr="001113C4">
              <w:rPr>
                <w:rFonts w:ascii="Times New Roman" w:hAnsi="Times New Roman" w:cs="Times New Roman"/>
                <w:b/>
              </w:rPr>
              <w:t xml:space="preserve"> „Насърчаване на равния достъп до и завършването на качествено и приобщаващо образование и обучение, по-специално за групите в неравностойно положение, от образованието и грижите в ранна детска възраст през общото и професионалното образование и обучение до висшето образование, както и образованието и ученето в зряла възраст, включително улесняване на мобилността с учебна цел за всички“ </w:t>
            </w:r>
          </w:p>
        </w:tc>
      </w:tr>
      <w:tr w:rsidR="0085763E" w:rsidRPr="003D44D8" w:rsidTr="004127DF">
        <w:trPr>
          <w:trHeight w:val="668"/>
        </w:trPr>
        <w:tc>
          <w:tcPr>
            <w:tcW w:w="5000" w:type="pct"/>
            <w:gridSpan w:val="2"/>
            <w:shd w:val="clear" w:color="auto" w:fill="DEEAF6" w:themeFill="accent1" w:themeFillTint="33"/>
          </w:tcPr>
          <w:p w:rsidR="0085763E" w:rsidRPr="003D44D8" w:rsidRDefault="0085763E" w:rsidP="0075132C">
            <w:pPr>
              <w:spacing w:after="120"/>
              <w:jc w:val="both"/>
              <w:rPr>
                <w:rFonts w:ascii="Times New Roman" w:hAnsi="Times New Roman" w:cs="Times New Roman"/>
                <w:b/>
              </w:rPr>
            </w:pPr>
            <w:r w:rsidRPr="003D44D8">
              <w:rPr>
                <w:rFonts w:ascii="Times New Roman" w:hAnsi="Times New Roman" w:cs="Times New Roman"/>
                <w:b/>
              </w:rPr>
              <w:t xml:space="preserve">Нужди </w:t>
            </w:r>
            <w:r>
              <w:rPr>
                <w:rFonts w:ascii="Times New Roman" w:hAnsi="Times New Roman" w:cs="Times New Roman"/>
                <w:b/>
              </w:rPr>
              <w:t>(</w:t>
            </w:r>
            <w:r w:rsidRPr="003D44D8">
              <w:rPr>
                <w:rFonts w:ascii="Times New Roman" w:hAnsi="Times New Roman" w:cs="Times New Roman"/>
                <w:b/>
              </w:rPr>
              <w:t>Анекс Г</w:t>
            </w:r>
            <w:r>
              <w:rPr>
                <w:rFonts w:ascii="Times New Roman" w:hAnsi="Times New Roman" w:cs="Times New Roman"/>
                <w:b/>
              </w:rPr>
              <w:t>)</w:t>
            </w:r>
            <w:r w:rsidR="001C7A0C">
              <w:rPr>
                <w:rFonts w:ascii="Times New Roman" w:hAnsi="Times New Roman" w:cs="Times New Roman"/>
                <w:b/>
              </w:rPr>
              <w:t xml:space="preserve"> 4.</w:t>
            </w:r>
            <w:r w:rsidR="0075132C">
              <w:rPr>
                <w:rFonts w:ascii="Times New Roman" w:hAnsi="Times New Roman" w:cs="Times New Roman"/>
                <w:b/>
                <w:lang w:val="en-US"/>
              </w:rPr>
              <w:t>2</w:t>
            </w:r>
            <w:r w:rsidR="003B4BD9">
              <w:rPr>
                <w:rFonts w:ascii="Times New Roman" w:hAnsi="Times New Roman" w:cs="Times New Roman"/>
                <w:b/>
              </w:rPr>
              <w:t xml:space="preserve">. </w:t>
            </w:r>
            <w:r w:rsidR="001C7A0C" w:rsidRPr="001C7A0C">
              <w:rPr>
                <w:rFonts w:ascii="Times New Roman" w:hAnsi="Times New Roman" w:cs="Times New Roman"/>
                <w:b/>
              </w:rPr>
              <w:t>Предотвратяване на преждевременното напускане на училище посредством целенасочен подход и насърчаване на гъвкави програми за втори шанс.</w:t>
            </w:r>
            <w:r w:rsidR="001C7A0C">
              <w:rPr>
                <w:rFonts w:ascii="Times New Roman" w:hAnsi="Times New Roman" w:cs="Times New Roman"/>
                <w:b/>
              </w:rPr>
              <w:t xml:space="preserve"> </w:t>
            </w:r>
          </w:p>
        </w:tc>
      </w:tr>
      <w:tr w:rsidR="000A2E68" w:rsidRPr="003D44D8" w:rsidTr="000A2E68">
        <w:trPr>
          <w:trHeight w:val="1195"/>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1</w:t>
            </w:r>
            <w:r w:rsidRPr="003D44D8">
              <w:rPr>
                <w:rFonts w:ascii="Times New Roman" w:hAnsi="Times New Roman" w:cs="Times New Roman"/>
                <w:b/>
              </w:rPr>
              <w:t xml:space="preserve">. Цели и резултати </w:t>
            </w:r>
          </w:p>
        </w:tc>
        <w:tc>
          <w:tcPr>
            <w:tcW w:w="3954" w:type="pct"/>
            <w:shd w:val="clear" w:color="auto" w:fill="auto"/>
          </w:tcPr>
          <w:p w:rsidR="00224C06" w:rsidRPr="00EF7452" w:rsidRDefault="00224C06" w:rsidP="00224C06">
            <w:pPr>
              <w:pStyle w:val="NormalWeb"/>
              <w:spacing w:before="240" w:beforeAutospacing="0" w:after="240" w:afterAutospacing="0"/>
              <w:jc w:val="both"/>
              <w:rPr>
                <w:color w:val="222222"/>
              </w:rPr>
            </w:pPr>
            <w:r>
              <w:rPr>
                <w:color w:val="222222"/>
              </w:rPr>
              <w:t>Основната цел е подкрепа на националната политика за подсигуряване на пълен обхват в предучилищното и училищното образование, намаляване до минимум на отпадналите и ранно напусналите училище. В допълнение към съществуващият механизъм за пълен обхват, както и на програмите финансирани със средства от Националния бюджет, оперативната програма ще мобилизира  ресурсите на  всички заинтересовани страни,  включително на  училищата, детските градини  и неправителствените организации. </w:t>
            </w:r>
          </w:p>
          <w:p w:rsidR="00224C06" w:rsidRPr="00EF7452" w:rsidRDefault="00224C06" w:rsidP="00224C06">
            <w:pPr>
              <w:pStyle w:val="NormalWeb"/>
              <w:spacing w:before="240" w:beforeAutospacing="0" w:after="240" w:afterAutospacing="0"/>
              <w:jc w:val="both"/>
              <w:rPr>
                <w:color w:val="222222"/>
              </w:rPr>
            </w:pPr>
            <w:r>
              <w:rPr>
                <w:color w:val="222222"/>
              </w:rPr>
              <w:t>За постигането на тази цел ще бъдат положени усилия в следните насоки:</w:t>
            </w:r>
          </w:p>
          <w:p w:rsidR="00224C06" w:rsidRDefault="00224C06" w:rsidP="00224C06">
            <w:pPr>
              <w:pStyle w:val="NormalWeb"/>
              <w:numPr>
                <w:ilvl w:val="0"/>
                <w:numId w:val="1"/>
              </w:numPr>
              <w:spacing w:before="240" w:beforeAutospacing="0" w:after="240" w:afterAutospacing="0"/>
              <w:jc w:val="both"/>
              <w:textAlignment w:val="baseline"/>
              <w:rPr>
                <w:color w:val="222222"/>
              </w:rPr>
            </w:pPr>
            <w:r>
              <w:rPr>
                <w:color w:val="222222"/>
              </w:rPr>
              <w:t>Повишаване на обхвата в предучилищното образование: както в задължителната за образование  предучилищна възраст,  така и още от тригодишна възраст:</w:t>
            </w:r>
          </w:p>
          <w:p w:rsidR="00224C06" w:rsidRDefault="00224C06" w:rsidP="00224C06">
            <w:pPr>
              <w:pStyle w:val="NormalWeb"/>
              <w:numPr>
                <w:ilvl w:val="0"/>
                <w:numId w:val="1"/>
              </w:numPr>
              <w:spacing w:before="240" w:beforeAutospacing="0" w:after="240" w:afterAutospacing="0"/>
              <w:jc w:val="both"/>
              <w:textAlignment w:val="baseline"/>
              <w:rPr>
                <w:color w:val="222222"/>
              </w:rPr>
            </w:pPr>
            <w:r>
              <w:rPr>
                <w:color w:val="222222"/>
              </w:rPr>
              <w:t>Ангажиране на родителите и всички заинтересовани страни, включително образователни медиатори и неправителствени организации, с усилията за намаляване на отпадането и ранното напускане на училище и подсигуряване на пълен обхват до завършване на средно образование. Достигане до най-бедните и маргинализираните семейства с най-нисък ангажимент към образованието</w:t>
            </w:r>
          </w:p>
          <w:p w:rsidR="000A2E68" w:rsidRPr="00EF7452" w:rsidRDefault="00EF7452" w:rsidP="00EF7452">
            <w:pPr>
              <w:spacing w:after="120"/>
              <w:jc w:val="both"/>
              <w:rPr>
                <w:rFonts w:ascii="Times New Roman" w:eastAsia="Times New Roman" w:hAnsi="Times New Roman" w:cs="Times New Roman"/>
                <w:color w:val="222222"/>
                <w:sz w:val="24"/>
                <w:szCs w:val="24"/>
                <w:lang w:eastAsia="bg-BG"/>
              </w:rPr>
            </w:pPr>
            <w:r w:rsidRPr="00EF7452">
              <w:rPr>
                <w:rFonts w:ascii="Times New Roman" w:eastAsia="Times New Roman" w:hAnsi="Times New Roman" w:cs="Times New Roman"/>
                <w:color w:val="222222"/>
                <w:sz w:val="24"/>
                <w:szCs w:val="24"/>
                <w:lang w:eastAsia="bg-BG"/>
              </w:rPr>
              <w:t xml:space="preserve">С осъществяването на предложените мерки се очаква да се увеличи броят на децата и учениците, обхванати в образователната система, да се подобри достъпът до училищно образование, да се осигури проходимостта между образователните институции и да се намали процентът на отпадащите от училище, в т.ч. и за ромите. </w:t>
            </w:r>
            <w:r w:rsidR="00E0485B" w:rsidRPr="00E0485B">
              <w:rPr>
                <w:rFonts w:ascii="Times New Roman" w:hAnsi="Times New Roman" w:cs="Times New Roman"/>
                <w:color w:val="222222"/>
                <w:sz w:val="24"/>
                <w:szCs w:val="24"/>
              </w:rPr>
              <w:t>Повишаването на обхвата в предучилищно образование, особено в ранна детска възраст ще доведе не само до доближаване до средните за Европейския съюз нива, но и до намаляване на отпадането в училищното образование. Достигането до и ангажирането на родителите от най-маргинализираните семейства с най-нисък ангажимент към образованието ще доведе до включване в училищната система и на тези деца, които не могат да бъдат ангажирани чрез дейността на междуинституционалните екипи за обхват.</w:t>
            </w:r>
          </w:p>
        </w:tc>
      </w:tr>
      <w:tr w:rsidR="000A2E68" w:rsidRPr="003D44D8" w:rsidTr="000A2E68">
        <w:trPr>
          <w:trHeight w:val="1063"/>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lastRenderedPageBreak/>
              <w:t>2</w:t>
            </w:r>
            <w:r w:rsidRPr="003D44D8">
              <w:rPr>
                <w:rFonts w:ascii="Times New Roman" w:hAnsi="Times New Roman" w:cs="Times New Roman"/>
                <w:b/>
              </w:rPr>
              <w:t>. Продукти</w:t>
            </w:r>
          </w:p>
        </w:tc>
        <w:tc>
          <w:tcPr>
            <w:tcW w:w="3954" w:type="pct"/>
            <w:shd w:val="clear" w:color="auto" w:fill="auto"/>
          </w:tcPr>
          <w:p w:rsidR="000A2E68" w:rsidRPr="003D44D8" w:rsidRDefault="000A2E68" w:rsidP="000A2E68">
            <w:pPr>
              <w:spacing w:after="120"/>
              <w:jc w:val="both"/>
              <w:rPr>
                <w:rFonts w:ascii="Times New Roman" w:hAnsi="Times New Roman" w:cs="Times New Roman"/>
                <w:b/>
              </w:rPr>
            </w:pPr>
            <w:r w:rsidRPr="003D44D8">
              <w:rPr>
                <w:rFonts w:ascii="Times New Roman" w:hAnsi="Times New Roman" w:cs="Times New Roman"/>
                <w:i/>
                <w:color w:val="808080" w:themeColor="background1" w:themeShade="80"/>
              </w:rPr>
              <w:t>Посочете предложения за специфични за програмата индикатори за краен продукт. Моля съобразете с основния набор от показатели за резултатите на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rPr>
              <w:t xml:space="preserve">, посочени в Приложение </w:t>
            </w:r>
            <w:r>
              <w:rPr>
                <w:rFonts w:ascii="Times New Roman" w:hAnsi="Times New Roman" w:cs="Times New Roman"/>
                <w:i/>
                <w:color w:val="808080" w:themeColor="background1" w:themeShade="80"/>
                <w:lang w:val="en-US"/>
              </w:rPr>
              <w:t>I</w:t>
            </w:r>
            <w:r w:rsidRPr="003D44D8">
              <w:rPr>
                <w:rFonts w:ascii="Times New Roman" w:hAnsi="Times New Roman" w:cs="Times New Roman"/>
                <w:i/>
                <w:color w:val="808080" w:themeColor="background1" w:themeShade="80"/>
                <w:lang w:val="en-US"/>
              </w:rPr>
              <w:t xml:space="preserve"> </w:t>
            </w:r>
            <w:r w:rsidRPr="003D44D8">
              <w:rPr>
                <w:rFonts w:ascii="Times New Roman" w:hAnsi="Times New Roman" w:cs="Times New Roman"/>
                <w:i/>
                <w:color w:val="808080" w:themeColor="background1" w:themeShade="80"/>
              </w:rPr>
              <w:t>на проект на Регламент за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lang w:val="en-US"/>
              </w:rPr>
              <w:t xml:space="preserve"> COM</w:t>
            </w:r>
            <w:r w:rsidRPr="003D44D8">
              <w:rPr>
                <w:rFonts w:ascii="Times New Roman" w:hAnsi="Times New Roman" w:cs="Times New Roman"/>
                <w:i/>
                <w:color w:val="808080" w:themeColor="background1" w:themeShade="80"/>
              </w:rPr>
              <w:t>(2018) 3</w:t>
            </w:r>
            <w:r>
              <w:rPr>
                <w:rFonts w:ascii="Times New Roman" w:hAnsi="Times New Roman" w:cs="Times New Roman"/>
                <w:i/>
                <w:color w:val="808080" w:themeColor="background1" w:themeShade="80"/>
              </w:rPr>
              <w:t>82</w:t>
            </w:r>
          </w:p>
        </w:tc>
      </w:tr>
      <w:tr w:rsidR="000A2E68" w:rsidRPr="003D44D8" w:rsidTr="000A2E68">
        <w:trPr>
          <w:trHeight w:val="1626"/>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3.</w:t>
            </w:r>
            <w:r w:rsidRPr="003D44D8">
              <w:rPr>
                <w:rFonts w:ascii="Times New Roman" w:hAnsi="Times New Roman" w:cs="Times New Roman"/>
                <w:b/>
              </w:rPr>
              <w:t>Нужди</w:t>
            </w:r>
            <w:r>
              <w:rPr>
                <w:rFonts w:ascii="Times New Roman" w:hAnsi="Times New Roman" w:cs="Times New Roman"/>
                <w:b/>
              </w:rPr>
              <w:t xml:space="preserve"> и предизвикателства</w:t>
            </w:r>
          </w:p>
        </w:tc>
        <w:tc>
          <w:tcPr>
            <w:tcW w:w="3954" w:type="pct"/>
            <w:shd w:val="clear" w:color="auto" w:fill="auto"/>
          </w:tcPr>
          <w:p w:rsidR="00026280" w:rsidRPr="006242F7" w:rsidRDefault="00AB1957" w:rsidP="006242F7">
            <w:pPr>
              <w:tabs>
                <w:tab w:val="left" w:pos="709"/>
                <w:tab w:val="right" w:pos="9072"/>
              </w:tabs>
              <w:spacing w:after="160"/>
              <w:jc w:val="both"/>
              <w:rPr>
                <w:rFonts w:ascii="Times New Roman" w:eastAsia="Calibri" w:hAnsi="Times New Roman" w:cs="Times New Roman"/>
                <w:sz w:val="24"/>
                <w:szCs w:val="24"/>
                <w:lang w:val="en-GB"/>
              </w:rPr>
            </w:pPr>
            <w:bookmarkStart w:id="0" w:name="_GoBack"/>
            <w:bookmarkEnd w:id="0"/>
            <w:r w:rsidRPr="006242F7">
              <w:rPr>
                <w:rFonts w:ascii="Times New Roman" w:eastAsia="Calibri" w:hAnsi="Times New Roman" w:cs="Times New Roman"/>
                <w:sz w:val="24"/>
                <w:szCs w:val="24"/>
                <w:lang w:val="en-GB"/>
              </w:rPr>
              <w:t>С Решение 373 / 5.7.2017 г. и по-късно с Постановление 100 / 8.6.2018 г. Министерският съвет създаде многоинституционална рамка за пълен обхват. Той съдържа Механизъм, Координационен отдел и местни, многоинституционални екипи. Механизмът</w:t>
            </w:r>
            <w:r w:rsidRPr="006242F7">
              <w:rPr>
                <w:rStyle w:val="FootnoteReference"/>
                <w:rFonts w:ascii="Times New Roman" w:eastAsia="Calibri" w:hAnsi="Times New Roman" w:cs="Times New Roman"/>
                <w:sz w:val="24"/>
                <w:szCs w:val="24"/>
                <w:lang w:val="en-GB"/>
              </w:rPr>
              <w:footnoteReference w:id="1"/>
            </w:r>
            <w:r w:rsidRPr="006242F7">
              <w:rPr>
                <w:rFonts w:ascii="Times New Roman" w:eastAsia="Calibri" w:hAnsi="Times New Roman" w:cs="Times New Roman"/>
                <w:sz w:val="24"/>
                <w:szCs w:val="24"/>
                <w:lang w:val="en-GB"/>
              </w:rPr>
              <w:t xml:space="preserve"> включва ключовите институции, работещи с деца и техните семейства. Те са задължени да си сътрудничат в седем междусекторни области, за да гарантират, че всяко дете посещава училище</w:t>
            </w:r>
            <w:r w:rsidRPr="006242F7">
              <w:rPr>
                <w:rStyle w:val="FootnoteReference"/>
                <w:rFonts w:ascii="Times New Roman" w:eastAsia="Calibri" w:hAnsi="Times New Roman" w:cs="Times New Roman"/>
                <w:sz w:val="24"/>
                <w:szCs w:val="24"/>
                <w:lang w:val="en-GB"/>
              </w:rPr>
              <w:footnoteReference w:id="2"/>
            </w:r>
            <w:r w:rsidRPr="006242F7">
              <w:rPr>
                <w:rFonts w:ascii="Times New Roman" w:eastAsia="Calibri" w:hAnsi="Times New Roman" w:cs="Times New Roman"/>
                <w:sz w:val="24"/>
                <w:szCs w:val="24"/>
                <w:lang w:val="en-GB"/>
              </w:rPr>
              <w:t>.</w:t>
            </w:r>
            <w:r w:rsidRPr="006242F7">
              <w:rPr>
                <w:rFonts w:ascii="Times New Roman" w:eastAsia="Calibri" w:hAnsi="Times New Roman" w:cs="Times New Roman"/>
                <w:sz w:val="24"/>
                <w:szCs w:val="24"/>
              </w:rPr>
              <w:t xml:space="preserve"> </w:t>
            </w:r>
            <w:r w:rsidR="00026280" w:rsidRPr="006242F7">
              <w:rPr>
                <w:rFonts w:ascii="Times New Roman" w:eastAsia="Calibri" w:hAnsi="Times New Roman" w:cs="Times New Roman"/>
                <w:sz w:val="24"/>
                <w:szCs w:val="24"/>
                <w:lang w:val="en-GB"/>
              </w:rPr>
              <w:t>Създаването на мулти институционална рамка за пълен обхват може да се оцени като важна, положителна стъпка, която отговаря на решаваща нужда, а именно да се ангажира широк кръг от институции (не само образователни) в името на обща цел. Това е също знак за политическо внимание и желание за мобилизиране на всички институционални ресурси. Предвиденото високо политическо участие е предпоставка за изпълнение на очакваните задачи.</w:t>
            </w:r>
          </w:p>
          <w:p w:rsidR="00AB1957" w:rsidRPr="006242F7" w:rsidRDefault="00026280" w:rsidP="006242F7">
            <w:pPr>
              <w:tabs>
                <w:tab w:val="left" w:pos="709"/>
                <w:tab w:val="right" w:pos="9072"/>
              </w:tabs>
              <w:spacing w:after="160"/>
              <w:jc w:val="both"/>
              <w:rPr>
                <w:rFonts w:ascii="Times New Roman" w:eastAsia="Calibri" w:hAnsi="Times New Roman" w:cs="Times New Roman"/>
                <w:sz w:val="24"/>
                <w:szCs w:val="24"/>
                <w:lang w:val="en-GB"/>
              </w:rPr>
            </w:pPr>
            <w:r w:rsidRPr="006242F7">
              <w:rPr>
                <w:rFonts w:ascii="Times New Roman" w:eastAsia="Calibri" w:hAnsi="Times New Roman" w:cs="Times New Roman"/>
                <w:sz w:val="24"/>
                <w:szCs w:val="24"/>
                <w:lang w:val="en-GB"/>
              </w:rPr>
              <w:t>В същото време рамката има важни ограничения. Ролята на институциите е преувеличена (очаква се те да решат всички предизвикателства пред пълния обхват), докато ролята на местните общности е подценявана, въпреки че е широко признато, че без участието на родителите не е възможна промяна.</w:t>
            </w:r>
          </w:p>
          <w:p w:rsidR="000A2E68" w:rsidRPr="006242F7" w:rsidRDefault="00F26CE4" w:rsidP="006242F7">
            <w:pPr>
              <w:spacing w:after="120"/>
              <w:jc w:val="both"/>
              <w:rPr>
                <w:rFonts w:ascii="Times New Roman" w:hAnsi="Times New Roman" w:cs="Times New Roman"/>
                <w:b/>
                <w:sz w:val="24"/>
                <w:szCs w:val="24"/>
              </w:rPr>
            </w:pPr>
            <w:r w:rsidRPr="006242F7">
              <w:rPr>
                <w:rFonts w:ascii="Times New Roman" w:hAnsi="Times New Roman" w:cs="Times New Roman"/>
                <w:color w:val="222222"/>
                <w:sz w:val="24"/>
                <w:szCs w:val="24"/>
              </w:rPr>
              <w:t xml:space="preserve">Налице са сериозни етнически дисбаланси по отношение на отпадането и ранното напускане на училище. </w:t>
            </w:r>
            <w:r w:rsidR="00E23C72" w:rsidRPr="006242F7">
              <w:rPr>
                <w:rFonts w:ascii="Times New Roman" w:hAnsi="Times New Roman" w:cs="Times New Roman"/>
                <w:color w:val="222222"/>
                <w:sz w:val="24"/>
                <w:szCs w:val="24"/>
              </w:rPr>
              <w:t>Според данни от преброяването през 2011 г. в съвкупността на децата в задължителна училищна възраст (от 7 до 15 години) децата от ромски произход, непосещаващи училище, са 23,2%, децата от турски произход – 11,9%, етническите българи – 5,6% .</w:t>
            </w:r>
            <w:r w:rsidR="00D3417B" w:rsidRPr="006242F7">
              <w:rPr>
                <w:rFonts w:ascii="Times New Roman" w:hAnsi="Times New Roman" w:cs="Times New Roman"/>
                <w:color w:val="222222"/>
                <w:sz w:val="24"/>
                <w:szCs w:val="24"/>
              </w:rPr>
              <w:t xml:space="preserve"> В същото време трябва да подчертаем, че са налице множество примери на успешно функциониращи училища и детски градини, които са успели да постигнат стопроцентов обхват на ученици от ромски и турски етнос, както и на практика нулево отпадане и ранно напускане на училище. Тези успешни практики следва да бъдат подкрепени и разширени за достигане на национален мащаб.</w:t>
            </w:r>
          </w:p>
        </w:tc>
      </w:tr>
      <w:tr w:rsidR="000A2E68" w:rsidRPr="003D44D8" w:rsidTr="000A2E68">
        <w:trPr>
          <w:trHeight w:val="807"/>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4</w:t>
            </w:r>
            <w:r w:rsidRPr="003D44D8">
              <w:rPr>
                <w:rFonts w:ascii="Times New Roman" w:hAnsi="Times New Roman" w:cs="Times New Roman"/>
                <w:b/>
              </w:rPr>
              <w:t>. Дейности</w:t>
            </w:r>
          </w:p>
        </w:tc>
        <w:tc>
          <w:tcPr>
            <w:tcW w:w="3954" w:type="pct"/>
            <w:shd w:val="clear" w:color="auto" w:fill="auto"/>
          </w:tcPr>
          <w:p w:rsidR="000A2E68" w:rsidRPr="00210791" w:rsidRDefault="006862F1" w:rsidP="006862F1">
            <w:pPr>
              <w:spacing w:after="120"/>
              <w:jc w:val="both"/>
              <w:rPr>
                <w:rFonts w:ascii="Times New Roman" w:hAnsi="Times New Roman" w:cs="Times New Roman"/>
                <w:sz w:val="24"/>
                <w:szCs w:val="24"/>
              </w:rPr>
            </w:pPr>
            <w:r w:rsidRPr="00210791">
              <w:rPr>
                <w:rFonts w:ascii="Times New Roman" w:hAnsi="Times New Roman" w:cs="Times New Roman"/>
                <w:sz w:val="24"/>
                <w:szCs w:val="24"/>
              </w:rPr>
              <w:t xml:space="preserve">Планираните по програмата дейности се основават на разбирането, че децата и учениците се развиват в рамките на взаимодействието между семейството, институцията на детската градина/училището, общността и обществото като цяло. Значими партньори при изпълнението дейности по програмата са неправителствените организации, чието активно участие ще допринесе за мултиплицирането на постигнатите резултати. </w:t>
            </w:r>
          </w:p>
          <w:p w:rsidR="00CA4190" w:rsidRPr="00210791" w:rsidRDefault="00CA4190" w:rsidP="00CA4190">
            <w:pPr>
              <w:pStyle w:val="NormalWeb"/>
              <w:spacing w:before="240" w:beforeAutospacing="0" w:after="240" w:afterAutospacing="0"/>
              <w:jc w:val="both"/>
            </w:pPr>
            <w:r w:rsidRPr="00210791">
              <w:rPr>
                <w:color w:val="222222"/>
              </w:rPr>
              <w:lastRenderedPageBreak/>
              <w:t>През настоящия програмен период бяха успешно апробирани широк спектър от дейности, насочени към намаляване на отпадането от училище, чрез системните проекти изпълнявани от МОН.  Част от тези дейности, например заниманията по интереси, вече се финансират от държавния бюджет, което също е успешна практика за подсигуряване на устойчивост на тези дейности</w:t>
            </w:r>
            <w:r w:rsidRPr="00210791">
              <w:rPr>
                <w:b/>
                <w:bCs/>
                <w:color w:val="222222"/>
              </w:rPr>
              <w:t xml:space="preserve">.  </w:t>
            </w:r>
            <w:r w:rsidRPr="00210791">
              <w:rPr>
                <w:color w:val="222222"/>
              </w:rPr>
              <w:t>В същото време бяха подценени възможностите за ангажиране на по-широк спектър заинтересовани страни чрез операция за конкурентен подбор на проекти. Необходимо е през новият програмен период да бъде намерен подходящ баланс в това отношение. </w:t>
            </w:r>
          </w:p>
          <w:p w:rsidR="00CA4190" w:rsidRPr="00210791" w:rsidRDefault="00CA4190" w:rsidP="00CA4190">
            <w:pPr>
              <w:pStyle w:val="NormalWeb"/>
              <w:spacing w:before="240" w:beforeAutospacing="0" w:after="240" w:afterAutospacing="0"/>
              <w:jc w:val="both"/>
              <w:rPr>
                <w:color w:val="222222"/>
              </w:rPr>
            </w:pPr>
            <w:r w:rsidRPr="00210791">
              <w:rPr>
                <w:color w:val="222222"/>
              </w:rPr>
              <w:t>За постигането на поставената цел и подцели предлагаме следните типове дейности:</w:t>
            </w:r>
          </w:p>
          <w:p w:rsidR="00CF7E55" w:rsidRPr="00210791" w:rsidRDefault="00CF7E55" w:rsidP="00CA4190">
            <w:pPr>
              <w:pStyle w:val="NormalWeb"/>
              <w:spacing w:before="240" w:beforeAutospacing="0" w:after="240" w:afterAutospacing="0"/>
              <w:jc w:val="both"/>
              <w:rPr>
                <w:color w:val="222222"/>
              </w:rPr>
            </w:pPr>
            <w:r w:rsidRPr="00210791">
              <w:rPr>
                <w:color w:val="222222"/>
              </w:rPr>
              <w:t>Подкрепа за подобряване на качеството на предучилищното образование в общините, които са премахнали таксите за детски градини: иновативна операция с конкретен бенефициент общините, които са премахнали таксите за детски градини за всички деца. Понастоящем близо 30 общини са направили това с решение на съответния общински съвет. Те не могат да участват в компонента за освобождаване от такси, включен в проект Активно приобщаване. В същото време тези общини са демонстрирали сериозен ангажимент към предучилищното образование.  Предлагаме те да бъдат конкретен бенефициент на операция, която ще предостави ресурс за подобряване на качеството и въвеждане на иновативност в предучилищното образование.</w:t>
            </w:r>
          </w:p>
          <w:p w:rsidR="00CF7E55" w:rsidRPr="00210791" w:rsidRDefault="00CF7E55" w:rsidP="00CA4190">
            <w:pPr>
              <w:pStyle w:val="NormalWeb"/>
              <w:spacing w:before="240" w:beforeAutospacing="0" w:after="240" w:afterAutospacing="0"/>
              <w:jc w:val="both"/>
            </w:pPr>
          </w:p>
          <w:p w:rsidR="00612A33" w:rsidRPr="00210791" w:rsidRDefault="00CF7E55" w:rsidP="006862F1">
            <w:pPr>
              <w:spacing w:after="120"/>
              <w:jc w:val="both"/>
              <w:rPr>
                <w:rFonts w:ascii="Times New Roman" w:eastAsia="Times New Roman" w:hAnsi="Times New Roman" w:cs="Times New Roman"/>
                <w:color w:val="222222"/>
                <w:sz w:val="24"/>
                <w:szCs w:val="24"/>
                <w:lang w:eastAsia="bg-BG"/>
              </w:rPr>
            </w:pPr>
            <w:r w:rsidRPr="00210791">
              <w:rPr>
                <w:rFonts w:ascii="Times New Roman" w:eastAsia="Times New Roman" w:hAnsi="Times New Roman" w:cs="Times New Roman"/>
                <w:color w:val="222222"/>
                <w:sz w:val="24"/>
                <w:szCs w:val="24"/>
                <w:lang w:eastAsia="bg-BG"/>
              </w:rPr>
              <w:t>Подкрепа за семейства за обучение на децата им в детски градини от 3-годишна възраст с оглед ранната им социализация. Психологическа подкрепа и допълнително обучение по български език за децата в детските градини и подготвителните класове в училище: операция надграждаща положителните ефекти от “Подкрепа за предучилищното образование… “ и “Активно приобщаване….” и допълваща ги със засилена работа със семействата, осъществявана в партньорство с неправителствени организации, детски градини и общини</w:t>
            </w:r>
            <w:r w:rsidR="00D20201" w:rsidRPr="00210791">
              <w:rPr>
                <w:rFonts w:ascii="Times New Roman" w:eastAsia="Times New Roman" w:hAnsi="Times New Roman" w:cs="Times New Roman"/>
                <w:color w:val="222222"/>
                <w:sz w:val="24"/>
                <w:szCs w:val="24"/>
                <w:lang w:eastAsia="bg-BG"/>
              </w:rPr>
              <w:t>.</w:t>
            </w:r>
          </w:p>
          <w:p w:rsidR="001D64E1" w:rsidRPr="00210791" w:rsidRDefault="001D64E1" w:rsidP="006862F1">
            <w:pPr>
              <w:spacing w:after="120"/>
              <w:jc w:val="both"/>
              <w:rPr>
                <w:rFonts w:ascii="Times New Roman" w:eastAsia="Times New Roman" w:hAnsi="Times New Roman" w:cs="Times New Roman"/>
                <w:color w:val="222222"/>
                <w:sz w:val="24"/>
                <w:szCs w:val="24"/>
                <w:lang w:eastAsia="bg-BG"/>
              </w:rPr>
            </w:pPr>
          </w:p>
          <w:p w:rsidR="001D64E1" w:rsidRPr="00210791" w:rsidRDefault="00D85DB5" w:rsidP="006862F1">
            <w:pPr>
              <w:spacing w:after="120"/>
              <w:jc w:val="both"/>
              <w:rPr>
                <w:rFonts w:ascii="Times New Roman" w:eastAsia="Times New Roman" w:hAnsi="Times New Roman" w:cs="Times New Roman"/>
                <w:color w:val="222222"/>
                <w:sz w:val="24"/>
                <w:szCs w:val="24"/>
                <w:lang w:eastAsia="bg-BG"/>
              </w:rPr>
            </w:pPr>
            <w:r w:rsidRPr="00210791">
              <w:rPr>
                <w:rFonts w:ascii="Times New Roman" w:hAnsi="Times New Roman" w:cs="Times New Roman"/>
                <w:color w:val="222222"/>
                <w:sz w:val="24"/>
                <w:szCs w:val="24"/>
              </w:rPr>
              <w:t xml:space="preserve">Съдействие на училищата, детските градини и междуинституционалните екипи за обхват при осъществяването на терена работа:  иновативна операция, която цели да ангажира неправителствени организации, читалища и други с подкрепа при взаимодействието със семейства, които не са мотивирани да изпращат децата си на училище. Въпреки перманентната работа на екипите за обхват, училищата и детските градини, немалък процент от достигнатите семейства отказват да изпратят децата си в училище или </w:t>
            </w:r>
            <w:r w:rsidRPr="00210791">
              <w:rPr>
                <w:rFonts w:ascii="Times New Roman" w:hAnsi="Times New Roman" w:cs="Times New Roman"/>
                <w:color w:val="222222"/>
                <w:sz w:val="24"/>
                <w:szCs w:val="24"/>
              </w:rPr>
              <w:lastRenderedPageBreak/>
              <w:t>твърдят, че децата са в чужбина без това да отговаря на истината. Обикновено в тези семейства не работят и санкционните механизми. Затова е необходимо с тях да бъде осъществявана работа на терен в общността. Такъв тип работа е необходима и за превенция на вторичното отпадане на вече записаните в училище или детска градина деца.</w:t>
            </w:r>
          </w:p>
          <w:p w:rsidR="00CF7E55" w:rsidRPr="00210791" w:rsidRDefault="00CF7E55" w:rsidP="006862F1">
            <w:pPr>
              <w:spacing w:after="120"/>
              <w:jc w:val="both"/>
              <w:rPr>
                <w:rFonts w:ascii="Times New Roman" w:eastAsia="Times New Roman" w:hAnsi="Times New Roman" w:cs="Times New Roman"/>
                <w:color w:val="222222"/>
                <w:sz w:val="24"/>
                <w:szCs w:val="24"/>
                <w:lang w:eastAsia="bg-BG"/>
              </w:rPr>
            </w:pPr>
          </w:p>
          <w:p w:rsidR="00CF7E55" w:rsidRPr="00210791" w:rsidRDefault="00CF7E55" w:rsidP="006862F1">
            <w:pPr>
              <w:spacing w:after="120"/>
              <w:jc w:val="both"/>
              <w:rPr>
                <w:rFonts w:ascii="Times New Roman" w:hAnsi="Times New Roman" w:cs="Times New Roman"/>
                <w:b/>
                <w:sz w:val="24"/>
                <w:szCs w:val="24"/>
              </w:rPr>
            </w:pPr>
          </w:p>
        </w:tc>
      </w:tr>
      <w:tr w:rsidR="000A2E68" w:rsidRPr="003D44D8" w:rsidTr="000A2E68">
        <w:trPr>
          <w:trHeight w:val="749"/>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lastRenderedPageBreak/>
              <w:t>5</w:t>
            </w:r>
            <w:r w:rsidRPr="003D44D8">
              <w:rPr>
                <w:rFonts w:ascii="Times New Roman" w:hAnsi="Times New Roman" w:cs="Times New Roman"/>
                <w:b/>
              </w:rPr>
              <w:t>. Целеви групи и бенефициенти</w:t>
            </w:r>
          </w:p>
        </w:tc>
        <w:tc>
          <w:tcPr>
            <w:tcW w:w="3954" w:type="pct"/>
            <w:shd w:val="clear" w:color="auto" w:fill="auto"/>
          </w:tcPr>
          <w:p w:rsidR="000A2E68" w:rsidRPr="003D44D8" w:rsidRDefault="00877930" w:rsidP="00663665">
            <w:pPr>
              <w:spacing w:after="120"/>
              <w:jc w:val="both"/>
              <w:rPr>
                <w:rFonts w:ascii="Times New Roman" w:hAnsi="Times New Roman" w:cs="Times New Roman"/>
                <w:b/>
              </w:rPr>
            </w:pPr>
            <w:r>
              <w:t>Деца, ченици, младежи, родители,</w:t>
            </w:r>
            <w:r w:rsidR="00377AFB">
              <w:t xml:space="preserve"> </w:t>
            </w:r>
            <w:r>
              <w:t>учители, педагогически специалисти, директори</w:t>
            </w:r>
            <w:r w:rsidR="00377AFB">
              <w:t xml:space="preserve">, </w:t>
            </w:r>
            <w:r>
              <w:t>медиатори</w:t>
            </w:r>
          </w:p>
        </w:tc>
      </w:tr>
    </w:tbl>
    <w:p w:rsidR="00AE3696" w:rsidRDefault="00AE3696" w:rsidP="00AE3696">
      <w:pPr>
        <w:spacing w:after="0" w:line="240" w:lineRule="auto"/>
        <w:jc w:val="both"/>
        <w:rPr>
          <w:rFonts w:ascii="Times New Roman" w:hAnsi="Times New Roman" w:cs="Times New Roman"/>
          <w:sz w:val="20"/>
          <w:szCs w:val="20"/>
        </w:rPr>
      </w:pPr>
    </w:p>
    <w:p w:rsidR="00AE3696" w:rsidRPr="0085763E" w:rsidRDefault="00AE3696" w:rsidP="00AE3696">
      <w:pPr>
        <w:spacing w:after="0" w:line="240" w:lineRule="auto"/>
        <w:jc w:val="both"/>
        <w:rPr>
          <w:rFonts w:ascii="Times New Roman" w:hAnsi="Times New Roman" w:cs="Times New Roman"/>
          <w:b/>
          <w:sz w:val="20"/>
          <w:szCs w:val="20"/>
        </w:rPr>
      </w:pPr>
      <w:r w:rsidRPr="0085763E">
        <w:rPr>
          <w:rFonts w:ascii="Times New Roman" w:hAnsi="Times New Roman" w:cs="Times New Roman"/>
          <w:b/>
          <w:sz w:val="20"/>
          <w:szCs w:val="20"/>
        </w:rPr>
        <w:t>Източници на информация</w:t>
      </w:r>
      <w:r w:rsidR="0085763E">
        <w:rPr>
          <w:rFonts w:ascii="Times New Roman" w:hAnsi="Times New Roman" w:cs="Times New Roman"/>
          <w:b/>
          <w:sz w:val="20"/>
          <w:szCs w:val="20"/>
        </w:rPr>
        <w:t>:</w:t>
      </w:r>
    </w:p>
    <w:p w:rsidR="00AE3696" w:rsidRPr="00AE3696" w:rsidRDefault="00AE3696" w:rsidP="00AE3696">
      <w:pPr>
        <w:spacing w:after="0" w:line="240" w:lineRule="auto"/>
        <w:jc w:val="both"/>
        <w:rPr>
          <w:rFonts w:ascii="Times New Roman" w:hAnsi="Times New Roman" w:cs="Times New Roman"/>
          <w:sz w:val="20"/>
          <w:szCs w:val="20"/>
        </w:rPr>
      </w:pPr>
      <w:r w:rsidRPr="00AE3696">
        <w:rPr>
          <w:rFonts w:ascii="Times New Roman" w:hAnsi="Times New Roman" w:cs="Times New Roman"/>
          <w:sz w:val="20"/>
          <w:szCs w:val="20"/>
        </w:rPr>
        <w:t>Цели за устойчиво развитие на ООН.</w:t>
      </w:r>
    </w:p>
    <w:p w:rsidR="00AE3696" w:rsidRPr="00AE3696" w:rsidRDefault="00AE67E4" w:rsidP="00AE3696">
      <w:pPr>
        <w:spacing w:after="0" w:line="240" w:lineRule="auto"/>
        <w:jc w:val="both"/>
        <w:rPr>
          <w:rFonts w:ascii="Times New Roman" w:hAnsi="Times New Roman" w:cs="Times New Roman"/>
          <w:sz w:val="20"/>
          <w:szCs w:val="20"/>
        </w:rPr>
      </w:pPr>
      <w:hyperlink r:id="rId7" w:history="1">
        <w:r w:rsidR="00AE3696" w:rsidRPr="00AE3696">
          <w:rPr>
            <w:rStyle w:val="Hyperlink"/>
            <w:rFonts w:ascii="Times New Roman" w:hAnsi="Times New Roman" w:cs="Times New Roman"/>
            <w:sz w:val="20"/>
            <w:szCs w:val="20"/>
          </w:rPr>
          <w:t>https://www.un.org/sustainabledevelopment/sustainable-development-goals/</w:t>
        </w:r>
      </w:hyperlink>
    </w:p>
    <w:p w:rsidR="004127DF" w:rsidRPr="004127DF" w:rsidRDefault="004127DF" w:rsidP="004127DF">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rPr>
        <w:t xml:space="preserve">-  </w:t>
      </w:r>
      <w:r w:rsidRPr="004127DF">
        <w:rPr>
          <w:rFonts w:ascii="Times New Roman" w:hAnsi="Times New Roman" w:cs="Times New Roman"/>
          <w:sz w:val="20"/>
          <w:szCs w:val="20"/>
          <w:lang w:val="en-US"/>
        </w:rPr>
        <w:t>European Social scoreboard</w:t>
      </w:r>
    </w:p>
    <w:p w:rsidR="004127DF" w:rsidRPr="004127DF" w:rsidRDefault="00AE67E4" w:rsidP="004127DF">
      <w:pPr>
        <w:spacing w:after="0" w:line="240" w:lineRule="auto"/>
        <w:jc w:val="both"/>
        <w:rPr>
          <w:rFonts w:ascii="Times New Roman" w:hAnsi="Times New Roman" w:cs="Times New Roman"/>
          <w:sz w:val="20"/>
          <w:szCs w:val="20"/>
        </w:rPr>
      </w:pPr>
      <w:hyperlink r:id="rId8" w:history="1">
        <w:r w:rsidR="004127DF" w:rsidRPr="004127DF">
          <w:rPr>
            <w:rStyle w:val="Hyperlink"/>
            <w:rFonts w:ascii="Times New Roman" w:hAnsi="Times New Roman" w:cs="Times New Roman"/>
            <w:sz w:val="20"/>
            <w:szCs w:val="20"/>
          </w:rPr>
          <w:t>https://ec.europa.eu/social/main.jsp?catId=115</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Education and Training</w:t>
      </w:r>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MONITOR </w:t>
      </w:r>
      <w:r w:rsidRPr="004127DF">
        <w:rPr>
          <w:rFonts w:ascii="Times New Roman" w:hAnsi="Times New Roman" w:cs="Times New Roman"/>
          <w:sz w:val="20"/>
          <w:szCs w:val="20"/>
          <w:lang w:val="en-US"/>
        </w:rPr>
        <w:t xml:space="preserve">2018 </w:t>
      </w:r>
    </w:p>
    <w:p w:rsidR="004127DF" w:rsidRPr="004127DF" w:rsidRDefault="00AE67E4" w:rsidP="004127DF">
      <w:pPr>
        <w:spacing w:after="0" w:line="240" w:lineRule="auto"/>
        <w:jc w:val="both"/>
        <w:rPr>
          <w:rFonts w:ascii="Times New Roman" w:hAnsi="Times New Roman" w:cs="Times New Roman"/>
          <w:sz w:val="20"/>
          <w:szCs w:val="20"/>
        </w:rPr>
      </w:pPr>
      <w:hyperlink r:id="rId9" w:history="1">
        <w:r w:rsidR="004127DF" w:rsidRPr="004127DF">
          <w:rPr>
            <w:rStyle w:val="Hyperlink"/>
            <w:rFonts w:ascii="Times New Roman" w:hAnsi="Times New Roman" w:cs="Times New Roman"/>
            <w:sz w:val="20"/>
            <w:szCs w:val="20"/>
          </w:rPr>
          <w:t>https://www.educacionyfp.gob.es/inee/dam/jcr:009d2726-d54e-4238-9cfd-5a5dd98bbaab/volume-1-2018-education-and-training-monitor-country-analysis.pdf</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 Рамка за европейско сътрудничество в областта на образованието и обучението </w:t>
      </w:r>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„Образование и обучение 2020“ </w:t>
      </w:r>
    </w:p>
    <w:p w:rsidR="004127DF" w:rsidRPr="004127DF" w:rsidRDefault="00AE67E4" w:rsidP="004127DF">
      <w:pPr>
        <w:spacing w:after="0" w:line="240" w:lineRule="auto"/>
        <w:jc w:val="both"/>
        <w:rPr>
          <w:rFonts w:ascii="Times New Roman" w:hAnsi="Times New Roman" w:cs="Times New Roman"/>
          <w:sz w:val="20"/>
          <w:szCs w:val="20"/>
        </w:rPr>
      </w:pPr>
      <w:hyperlink r:id="rId10" w:history="1">
        <w:r w:rsidR="004127DF" w:rsidRPr="004127DF">
          <w:rPr>
            <w:rStyle w:val="Hyperlink"/>
            <w:rFonts w:ascii="Times New Roman" w:hAnsi="Times New Roman" w:cs="Times New Roman"/>
            <w:sz w:val="20"/>
            <w:szCs w:val="20"/>
          </w:rPr>
          <w:t>https://ec.europa.eu/education/policies/european-policy-cooperation/et2020-framework_bg</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Проект на визия, цели и приоритети на Национална програма за развитие България 2030</w:t>
      </w:r>
    </w:p>
    <w:p w:rsidR="00D3203B" w:rsidRPr="004127DF" w:rsidRDefault="00AE67E4" w:rsidP="004127DF">
      <w:pPr>
        <w:spacing w:after="0" w:line="240" w:lineRule="auto"/>
        <w:jc w:val="both"/>
        <w:rPr>
          <w:rFonts w:ascii="Times New Roman" w:hAnsi="Times New Roman" w:cs="Times New Roman"/>
          <w:sz w:val="20"/>
          <w:szCs w:val="20"/>
        </w:rPr>
      </w:pPr>
      <w:hyperlink r:id="rId11" w:history="1">
        <w:r w:rsidR="004127DF" w:rsidRPr="004127DF">
          <w:rPr>
            <w:rStyle w:val="Hyperlink"/>
            <w:rFonts w:ascii="Times New Roman" w:hAnsi="Times New Roman" w:cs="Times New Roman"/>
            <w:sz w:val="20"/>
            <w:szCs w:val="20"/>
          </w:rPr>
          <w:t>https://www.strategy.bg/PublicConsultations/View.aspx?lang=bg-BG&amp;Id=4682</w:t>
        </w:r>
      </w:hyperlink>
    </w:p>
    <w:sectPr w:rsidR="00D3203B" w:rsidRPr="004127DF" w:rsidSect="008857E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3B2" w:rsidRDefault="00B743B2" w:rsidP="00830D8F">
      <w:pPr>
        <w:spacing w:after="0" w:line="240" w:lineRule="auto"/>
      </w:pPr>
      <w:r>
        <w:separator/>
      </w:r>
    </w:p>
  </w:endnote>
  <w:endnote w:type="continuationSeparator" w:id="0">
    <w:p w:rsidR="00B743B2" w:rsidRDefault="00B743B2" w:rsidP="00830D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521834"/>
      <w:docPartObj>
        <w:docPartGallery w:val="Page Numbers (Bottom of Page)"/>
        <w:docPartUnique/>
      </w:docPartObj>
    </w:sdtPr>
    <w:sdtEndPr>
      <w:rPr>
        <w:noProof/>
      </w:rPr>
    </w:sdtEndPr>
    <w:sdtContent>
      <w:p w:rsidR="008857E1" w:rsidRDefault="00AE67E4">
        <w:pPr>
          <w:pStyle w:val="Footer"/>
          <w:jc w:val="center"/>
        </w:pPr>
        <w:r>
          <w:fldChar w:fldCharType="begin"/>
        </w:r>
        <w:r w:rsidR="008857E1">
          <w:instrText xml:space="preserve"> PAGE   \* MERGEFORMAT </w:instrText>
        </w:r>
        <w:r>
          <w:fldChar w:fldCharType="separate"/>
        </w:r>
        <w:r w:rsidR="00210791">
          <w:rPr>
            <w:noProof/>
          </w:rPr>
          <w:t>4</w:t>
        </w:r>
        <w:r>
          <w:rPr>
            <w:noProof/>
          </w:rPr>
          <w:fldChar w:fldCharType="end"/>
        </w:r>
      </w:p>
    </w:sdtContent>
  </w:sdt>
  <w:p w:rsidR="008857E1" w:rsidRDefault="008857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3B2" w:rsidRDefault="00B743B2" w:rsidP="00830D8F">
      <w:pPr>
        <w:spacing w:after="0" w:line="240" w:lineRule="auto"/>
      </w:pPr>
      <w:r>
        <w:separator/>
      </w:r>
    </w:p>
  </w:footnote>
  <w:footnote w:type="continuationSeparator" w:id="0">
    <w:p w:rsidR="00B743B2" w:rsidRDefault="00B743B2" w:rsidP="00830D8F">
      <w:pPr>
        <w:spacing w:after="0" w:line="240" w:lineRule="auto"/>
      </w:pPr>
      <w:r>
        <w:continuationSeparator/>
      </w:r>
    </w:p>
  </w:footnote>
  <w:footnote w:id="1">
    <w:p w:rsidR="00AB1957" w:rsidRPr="0083145E" w:rsidRDefault="00AB1957" w:rsidP="00AB1957">
      <w:pPr>
        <w:pStyle w:val="FootnoteText"/>
        <w:widowControl w:val="0"/>
        <w:suppressLineNumbers/>
        <w:suppressAutoHyphens/>
        <w:spacing w:after="120"/>
        <w:ind w:left="0" w:firstLine="425"/>
        <w:rPr>
          <w:rFonts w:ascii="Verdana" w:hAnsi="Verdana"/>
          <w:sz w:val="16"/>
          <w:szCs w:val="16"/>
          <w:lang w:val="en-GB"/>
        </w:rPr>
      </w:pPr>
      <w:r w:rsidRPr="0083145E">
        <w:rPr>
          <w:rStyle w:val="FootnoteReference"/>
          <w:rFonts w:ascii="Verdana" w:hAnsi="Verdana"/>
          <w:sz w:val="16"/>
          <w:szCs w:val="16"/>
          <w:lang w:val="en-GB"/>
        </w:rPr>
        <w:footnoteRef/>
      </w:r>
      <w:r w:rsidRPr="0083145E">
        <w:rPr>
          <w:rFonts w:ascii="Verdana" w:hAnsi="Verdana"/>
          <w:sz w:val="16"/>
          <w:szCs w:val="16"/>
          <w:lang w:val="en-GB"/>
        </w:rPr>
        <w:t xml:space="preserve"> </w:t>
      </w:r>
      <w:r w:rsidRPr="00174595">
        <w:rPr>
          <w:rFonts w:ascii="Verdana" w:hAnsi="Verdana"/>
          <w:sz w:val="16"/>
          <w:szCs w:val="16"/>
          <w:lang w:val="en-GB"/>
        </w:rPr>
        <w:t>Пълното му наименование е Механизъм за междуинституционално сътрудничество за включване в образователната система на деца и ученици в предучилищна и училищна възраст</w:t>
      </w:r>
    </w:p>
  </w:footnote>
  <w:footnote w:id="2">
    <w:p w:rsidR="00AB1957" w:rsidRPr="0083145E" w:rsidRDefault="00AB1957" w:rsidP="00AB1957">
      <w:pPr>
        <w:pStyle w:val="FootnoteText"/>
        <w:widowControl w:val="0"/>
        <w:suppressLineNumbers/>
        <w:suppressAutoHyphens/>
        <w:spacing w:after="120"/>
        <w:ind w:left="0" w:firstLine="425"/>
        <w:rPr>
          <w:rFonts w:ascii="Verdana" w:hAnsi="Verdana"/>
          <w:sz w:val="16"/>
          <w:szCs w:val="16"/>
          <w:lang w:val="en-GB"/>
        </w:rPr>
      </w:pPr>
      <w:r w:rsidRPr="0083145E">
        <w:rPr>
          <w:rStyle w:val="FootnoteReference"/>
          <w:rFonts w:ascii="Verdana" w:hAnsi="Verdana"/>
          <w:sz w:val="16"/>
          <w:szCs w:val="16"/>
          <w:lang w:val="en-GB"/>
        </w:rPr>
        <w:footnoteRef/>
      </w:r>
      <w:r>
        <w:rPr>
          <w:rFonts w:ascii="Verdana" w:eastAsia="Calibri" w:hAnsi="Verdana"/>
          <w:sz w:val="16"/>
          <w:szCs w:val="16"/>
          <w:lang w:val="bg-BG"/>
        </w:rPr>
        <w:t>Постановление</w:t>
      </w:r>
      <w:r>
        <w:rPr>
          <w:rFonts w:ascii="Verdana" w:eastAsia="Calibri" w:hAnsi="Verdana"/>
          <w:sz w:val="16"/>
          <w:szCs w:val="16"/>
          <w:lang w:val="en-GB"/>
        </w:rPr>
        <w:t xml:space="preserve"> 100/08.06.2018, </w:t>
      </w:r>
      <w:r>
        <w:rPr>
          <w:rFonts w:ascii="Verdana" w:eastAsia="Calibri" w:hAnsi="Verdana"/>
          <w:sz w:val="16"/>
          <w:szCs w:val="16"/>
          <w:lang w:val="bg-BG"/>
        </w:rPr>
        <w:t>чл</w:t>
      </w:r>
      <w:r w:rsidRPr="0083145E">
        <w:rPr>
          <w:rFonts w:ascii="Verdana" w:eastAsia="Calibri" w:hAnsi="Verdana"/>
          <w:sz w:val="16"/>
          <w:szCs w:val="16"/>
          <w:lang w:val="en-GB"/>
        </w:rPr>
        <w:t>. 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EA9" w:rsidRDefault="00946EA9" w:rsidP="00830D8F">
    <w:pPr>
      <w:spacing w:after="0" w:line="276" w:lineRule="auto"/>
      <w:jc w:val="center"/>
      <w:rPr>
        <w:rFonts w:ascii="Candara" w:hAnsi="Candara" w:cs="Times New Roman"/>
        <w:b/>
        <w:sz w:val="20"/>
        <w:szCs w:val="20"/>
      </w:rPr>
    </w:pPr>
    <w:r w:rsidRPr="00830D8F">
      <w:rPr>
        <w:rFonts w:ascii="Candara" w:hAnsi="Candara"/>
        <w:noProof/>
        <w:sz w:val="20"/>
        <w:szCs w:val="20"/>
        <w:lang w:eastAsia="bg-BG"/>
      </w:rPr>
      <w:drawing>
        <wp:anchor distT="0" distB="0" distL="114300" distR="114300" simplePos="0" relativeHeight="251657216" behindDoc="0" locked="0" layoutInCell="1" allowOverlap="1">
          <wp:simplePos x="0" y="0"/>
          <wp:positionH relativeFrom="margin">
            <wp:posOffset>4727278</wp:posOffset>
          </wp:positionH>
          <wp:positionV relativeFrom="topMargin">
            <wp:posOffset>198010</wp:posOffset>
          </wp:positionV>
          <wp:extent cx="1567815" cy="498475"/>
          <wp:effectExtent l="0" t="0" r="0" b="0"/>
          <wp:wrapSquare wrapText="bothSides"/>
          <wp:docPr id="2" name="Picture 2"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2">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67815" cy="498475"/>
                  </a:xfrm>
                  <a:prstGeom prst="rect">
                    <a:avLst/>
                  </a:prstGeom>
                  <a:noFill/>
                  <a:ln>
                    <a:noFill/>
                  </a:ln>
                </pic:spPr>
              </pic:pic>
            </a:graphicData>
          </a:graphic>
        </wp:anchor>
      </w:drawing>
    </w:r>
  </w:p>
  <w:p w:rsidR="00830D8F" w:rsidRPr="00C357A4" w:rsidRDefault="00830D8F" w:rsidP="00830D8F">
    <w:pPr>
      <w:spacing w:after="0" w:line="276" w:lineRule="auto"/>
      <w:jc w:val="center"/>
      <w:rPr>
        <w:rFonts w:ascii="Times New Roman" w:hAnsi="Times New Roman" w:cs="Times New Roman"/>
        <w:b/>
      </w:rPr>
    </w:pPr>
    <w:r w:rsidRPr="00C357A4">
      <w:rPr>
        <w:rFonts w:ascii="Times New Roman" w:eastAsia="Calibri" w:hAnsi="Times New Roman" w:cs="Times New Roman"/>
        <w:noProof/>
        <w:lang w:eastAsia="bg-BG"/>
      </w:rPr>
      <w:drawing>
        <wp:anchor distT="0" distB="0" distL="114300" distR="114300" simplePos="0" relativeHeight="251656192" behindDoc="1" locked="0" layoutInCell="1" allowOverlap="1">
          <wp:simplePos x="0" y="0"/>
          <wp:positionH relativeFrom="margin">
            <wp:posOffset>-416167</wp:posOffset>
          </wp:positionH>
          <wp:positionV relativeFrom="paragraph">
            <wp:posOffset>-428141</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50670" cy="524510"/>
                  </a:xfrm>
                  <a:prstGeom prst="rect">
                    <a:avLst/>
                  </a:prstGeom>
                  <a:noFill/>
                  <a:ln>
                    <a:noFill/>
                  </a:ln>
                </pic:spPr>
              </pic:pic>
            </a:graphicData>
          </a:graphic>
        </wp:anchor>
      </w:drawing>
    </w:r>
    <w:r w:rsidRPr="00C357A4">
      <w:rPr>
        <w:rFonts w:ascii="Times New Roman" w:hAnsi="Times New Roman" w:cs="Times New Roman"/>
        <w:noProof/>
        <w:lang w:eastAsia="bg-BG"/>
      </w:rPr>
      <w:drawing>
        <wp:anchor distT="0" distB="0" distL="114300" distR="114300" simplePos="0" relativeHeight="251658240" behindDoc="0" locked="0" layoutInCell="1" allowOverlap="1">
          <wp:simplePos x="0" y="0"/>
          <wp:positionH relativeFrom="margin">
            <wp:posOffset>7977505</wp:posOffset>
          </wp:positionH>
          <wp:positionV relativeFrom="topMargin">
            <wp:posOffset>294005</wp:posOffset>
          </wp:positionV>
          <wp:extent cx="1567815" cy="498475"/>
          <wp:effectExtent l="0" t="0" r="0" b="0"/>
          <wp:wrapSquare wrapText="bothSides"/>
          <wp:docPr id="6" name="Picture 6"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2">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67815" cy="498475"/>
                  </a:xfrm>
                  <a:prstGeom prst="rect">
                    <a:avLst/>
                  </a:prstGeom>
                  <a:noFill/>
                  <a:ln>
                    <a:noFill/>
                  </a:ln>
                </pic:spPr>
              </pic:pic>
            </a:graphicData>
          </a:graphic>
        </wp:anchor>
      </w:drawing>
    </w:r>
    <w:r w:rsidRPr="00C357A4">
      <w:rPr>
        <w:rFonts w:ascii="Times New Roman" w:hAnsi="Times New Roman" w:cs="Times New Roman"/>
        <w:b/>
      </w:rPr>
      <w:t>Тематична работна група за разработване на</w:t>
    </w:r>
  </w:p>
  <w:p w:rsidR="00830D8F" w:rsidRPr="00C357A4" w:rsidRDefault="00830D8F" w:rsidP="00C357A4">
    <w:pPr>
      <w:spacing w:after="0" w:line="276" w:lineRule="auto"/>
      <w:jc w:val="center"/>
      <w:rPr>
        <w:rFonts w:ascii="Times New Roman" w:hAnsi="Times New Roman" w:cs="Times New Roman"/>
        <w:b/>
      </w:rPr>
    </w:pPr>
    <w:r w:rsidRPr="00C357A4">
      <w:rPr>
        <w:rFonts w:ascii="Times New Roman" w:hAnsi="Times New Roman" w:cs="Times New Roman"/>
        <w:b/>
      </w:rPr>
      <w:t xml:space="preserve">Оперативна програма </w:t>
    </w:r>
    <w:r w:rsidR="00C357A4" w:rsidRPr="00C357A4">
      <w:rPr>
        <w:rFonts w:ascii="Times New Roman" w:hAnsi="Times New Roman" w:cs="Times New Roman"/>
        <w:b/>
      </w:rPr>
      <w:t>„Н</w:t>
    </w:r>
    <w:r w:rsidRPr="00C357A4">
      <w:rPr>
        <w:rFonts w:ascii="Times New Roman" w:hAnsi="Times New Roman" w:cs="Times New Roman"/>
        <w:b/>
      </w:rPr>
      <w:t xml:space="preserve">аука и образование“ </w:t>
    </w:r>
    <w:r w:rsidR="00AE67E4" w:rsidRPr="00AE67E4">
      <w:rPr>
        <w:rFonts w:ascii="Times New Roman" w:hAnsi="Times New Roman" w:cs="Times New Roman"/>
        <w:noProof/>
        <w:color w:val="000000" w:themeColor="text1"/>
        <w:lang w:eastAsia="bg-BG"/>
      </w:rPr>
      <w:pict>
        <v:line id="Straight Connector 25" o:spid="_x0000_s4097" style="position:absolute;left:0;text-align:left;flip:y;z-index:-251657216;visibility:visible;mso-position-horizontal:center;mso-position-horizontal-relative:margin;mso-position-vertical-relative:text;mso-width-relative:margin;mso-height-relative:margin" from="0,16.65pt" to="518.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" strokecolor="#a5a5a5" strokeweight="1pt">
          <v:stroke joinstyle="miter"/>
          <w10:wrap anchorx="margin"/>
        </v:line>
      </w:pict>
    </w:r>
    <w:r w:rsidRPr="00C357A4">
      <w:rPr>
        <w:rFonts w:ascii="Times New Roman" w:hAnsi="Times New Roman" w:cs="Times New Roman"/>
        <w:b/>
      </w:rPr>
      <w:t>2021-2027 г.</w:t>
    </w:r>
  </w:p>
  <w:p w:rsidR="002A52FC" w:rsidRPr="00C357A4" w:rsidRDefault="002A52FC" w:rsidP="00830D8F">
    <w:pPr>
      <w:pStyle w:val="Header"/>
      <w:jc w:val="center"/>
      <w:rPr>
        <w:rFonts w:ascii="Times New Roman" w:hAnsi="Times New Roman" w:cs="Times New Roman"/>
        <w:b/>
      </w:rPr>
    </w:pPr>
  </w:p>
  <w:tbl>
    <w:tblPr>
      <w:tblStyle w:val="TableGrid"/>
      <w:tblW w:w="10206" w:type="dxa"/>
      <w:tblInd w:w="-582" w:type="dxa"/>
      <w:shd w:val="clear" w:color="auto" w:fill="DEEAF6" w:themeFill="accent1" w:themeFillTint="33"/>
      <w:tblLook w:val="04A0"/>
    </w:tblPr>
    <w:tblGrid>
      <w:gridCol w:w="10206"/>
    </w:tblGrid>
    <w:tr w:rsidR="00724756" w:rsidRPr="00C357A4" w:rsidTr="00D616E5">
      <w:trPr>
        <w:trHeight w:val="393"/>
      </w:trPr>
      <w:tc>
        <w:tcPr>
          <w:tcW w:w="10206"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724756" w:rsidRPr="00C357A4" w:rsidRDefault="00724756" w:rsidP="00D616E5">
          <w:pPr>
            <w:pStyle w:val="Header"/>
            <w:jc w:val="center"/>
            <w:rPr>
              <w:rFonts w:ascii="Times New Roman" w:hAnsi="Times New Roman" w:cs="Times New Roman"/>
              <w:b/>
            </w:rPr>
          </w:pPr>
          <w:r w:rsidRPr="00C357A4">
            <w:rPr>
              <w:rFonts w:ascii="Times New Roman" w:hAnsi="Times New Roman" w:cs="Times New Roman"/>
              <w:b/>
            </w:rPr>
            <w:t>ФИШ ЗА ПРЕДСТАВЯНЕ НА ПРЕДЛОЖЕНИЯ</w:t>
          </w:r>
        </w:p>
      </w:tc>
    </w:tr>
  </w:tbl>
  <w:p w:rsidR="002A52FC" w:rsidRPr="00C357A4" w:rsidRDefault="002A52FC" w:rsidP="00830D8F">
    <w:pPr>
      <w:pStyle w:val="Header"/>
      <w:jc w:val="center"/>
      <w:rPr>
        <w:rFonts w:ascii="Times New Roman" w:hAnsi="Times New Roman" w:cs="Times New Roman"/>
        <w:b/>
      </w:rPr>
    </w:pPr>
  </w:p>
  <w:p w:rsidR="00D616E5" w:rsidRPr="00C357A4" w:rsidRDefault="00D616E5" w:rsidP="000F2626">
    <w:pPr>
      <w:pStyle w:val="Header"/>
      <w:tabs>
        <w:tab w:val="clear" w:pos="9072"/>
      </w:tabs>
      <w:ind w:left="-567" w:right="-567"/>
      <w:jc w:val="both"/>
      <w:rPr>
        <w:rFonts w:ascii="Times New Roman" w:hAnsi="Times New Roman" w:cs="Times New Roman"/>
        <w:b/>
        <w:u w:val="single"/>
      </w:rPr>
    </w:pPr>
    <w:r w:rsidRPr="00C357A4">
      <w:rPr>
        <w:rFonts w:ascii="Times New Roman" w:hAnsi="Times New Roman" w:cs="Times New Roman"/>
        <w:b/>
        <w:u w:val="single"/>
      </w:rPr>
      <w:t>Попълнен от: ___</w:t>
    </w:r>
    <w:r w:rsidR="000F2626" w:rsidRPr="000F2626">
      <w:rPr>
        <w:rFonts w:ascii="Times New Roman" w:hAnsi="Times New Roman"/>
        <w:sz w:val="24"/>
        <w:szCs w:val="24"/>
      </w:rPr>
      <w:t xml:space="preserve"> </w:t>
    </w:r>
    <w:r w:rsidR="000F2626" w:rsidRPr="00D82A25">
      <w:rPr>
        <w:rFonts w:ascii="Times New Roman" w:hAnsi="Times New Roman"/>
        <w:sz w:val="24"/>
        <w:szCs w:val="24"/>
      </w:rPr>
      <w:t xml:space="preserve">Деян Колев, представител на група </w:t>
    </w:r>
    <w:r w:rsidR="000F2626" w:rsidRPr="006F69C7">
      <w:rPr>
        <w:rFonts w:ascii="Times New Roman" w:hAnsi="Times New Roman"/>
        <w:b/>
        <w:sz w:val="24"/>
        <w:szCs w:val="24"/>
      </w:rPr>
      <w:t>Организации, работещи в сферата на социалното включване и интегрирането на маргинализираните групи</w:t>
    </w:r>
    <w:r w:rsidR="000F2626" w:rsidRPr="00C357A4">
      <w:rPr>
        <w:rFonts w:ascii="Times New Roman" w:hAnsi="Times New Roman" w:cs="Times New Roman"/>
        <w:b/>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77BC"/>
    <w:multiLevelType w:val="multilevel"/>
    <w:tmpl w:val="8304A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3E480C"/>
    <w:rsid w:val="00015939"/>
    <w:rsid w:val="000242D2"/>
    <w:rsid w:val="00026280"/>
    <w:rsid w:val="000A2E68"/>
    <w:rsid w:val="000A4A59"/>
    <w:rsid w:val="000F1120"/>
    <w:rsid w:val="000F2626"/>
    <w:rsid w:val="001113C4"/>
    <w:rsid w:val="001A00EC"/>
    <w:rsid w:val="001C7A0C"/>
    <w:rsid w:val="001D64E1"/>
    <w:rsid w:val="00210791"/>
    <w:rsid w:val="00224C06"/>
    <w:rsid w:val="002A52FC"/>
    <w:rsid w:val="002D4006"/>
    <w:rsid w:val="00310813"/>
    <w:rsid w:val="00322C67"/>
    <w:rsid w:val="00362208"/>
    <w:rsid w:val="00377AFB"/>
    <w:rsid w:val="003B4BD9"/>
    <w:rsid w:val="003D44D8"/>
    <w:rsid w:val="003E480C"/>
    <w:rsid w:val="004127DF"/>
    <w:rsid w:val="004504CC"/>
    <w:rsid w:val="00476530"/>
    <w:rsid w:val="004B74AE"/>
    <w:rsid w:val="005A0098"/>
    <w:rsid w:val="005C6D6B"/>
    <w:rsid w:val="00612A33"/>
    <w:rsid w:val="006242F7"/>
    <w:rsid w:val="006255DD"/>
    <w:rsid w:val="00663665"/>
    <w:rsid w:val="006862F1"/>
    <w:rsid w:val="00697AF9"/>
    <w:rsid w:val="00722884"/>
    <w:rsid w:val="00724756"/>
    <w:rsid w:val="0075132C"/>
    <w:rsid w:val="00756B45"/>
    <w:rsid w:val="00757647"/>
    <w:rsid w:val="00830D8F"/>
    <w:rsid w:val="0085763E"/>
    <w:rsid w:val="00863BD5"/>
    <w:rsid w:val="00877930"/>
    <w:rsid w:val="008857E1"/>
    <w:rsid w:val="00921FDB"/>
    <w:rsid w:val="00946EA9"/>
    <w:rsid w:val="009B19B2"/>
    <w:rsid w:val="009C462A"/>
    <w:rsid w:val="00A26D65"/>
    <w:rsid w:val="00AB1957"/>
    <w:rsid w:val="00AE28D1"/>
    <w:rsid w:val="00AE3696"/>
    <w:rsid w:val="00AE67E4"/>
    <w:rsid w:val="00B0694A"/>
    <w:rsid w:val="00B27C33"/>
    <w:rsid w:val="00B743B2"/>
    <w:rsid w:val="00B837F2"/>
    <w:rsid w:val="00BA7BC0"/>
    <w:rsid w:val="00BD0B6D"/>
    <w:rsid w:val="00C357A4"/>
    <w:rsid w:val="00C4119F"/>
    <w:rsid w:val="00CA4190"/>
    <w:rsid w:val="00CF7E55"/>
    <w:rsid w:val="00D20201"/>
    <w:rsid w:val="00D3203B"/>
    <w:rsid w:val="00D3417B"/>
    <w:rsid w:val="00D35AD8"/>
    <w:rsid w:val="00D35FF4"/>
    <w:rsid w:val="00D41314"/>
    <w:rsid w:val="00D54051"/>
    <w:rsid w:val="00D616E5"/>
    <w:rsid w:val="00D85DB5"/>
    <w:rsid w:val="00DF4201"/>
    <w:rsid w:val="00E0485B"/>
    <w:rsid w:val="00E23C72"/>
    <w:rsid w:val="00E51068"/>
    <w:rsid w:val="00ED103A"/>
    <w:rsid w:val="00ED4750"/>
    <w:rsid w:val="00EE3B28"/>
    <w:rsid w:val="00EE3DA2"/>
    <w:rsid w:val="00EF7452"/>
    <w:rsid w:val="00F13839"/>
    <w:rsid w:val="00F26CE4"/>
    <w:rsid w:val="00F426FB"/>
    <w:rsid w:val="00FC03E1"/>
    <w:rsid w:val="00FF391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7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4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30D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0D8F"/>
  </w:style>
  <w:style w:type="paragraph" w:styleId="Footer">
    <w:name w:val="footer"/>
    <w:basedOn w:val="Normal"/>
    <w:link w:val="FooterChar"/>
    <w:uiPriority w:val="99"/>
    <w:unhideWhenUsed/>
    <w:rsid w:val="00830D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0D8F"/>
  </w:style>
  <w:style w:type="paragraph" w:styleId="BalloonText">
    <w:name w:val="Balloon Text"/>
    <w:basedOn w:val="Normal"/>
    <w:link w:val="BalloonTextChar"/>
    <w:uiPriority w:val="99"/>
    <w:semiHidden/>
    <w:unhideWhenUsed/>
    <w:rsid w:val="00F138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839"/>
    <w:rPr>
      <w:rFonts w:ascii="Segoe UI" w:hAnsi="Segoe UI" w:cs="Segoe UI"/>
      <w:sz w:val="18"/>
      <w:szCs w:val="18"/>
    </w:rPr>
  </w:style>
  <w:style w:type="character" w:styleId="Hyperlink">
    <w:name w:val="Hyperlink"/>
    <w:basedOn w:val="DefaultParagraphFont"/>
    <w:uiPriority w:val="99"/>
    <w:unhideWhenUsed/>
    <w:rsid w:val="00322C67"/>
    <w:rPr>
      <w:color w:val="0563C1" w:themeColor="hyperlink"/>
      <w:u w:val="single"/>
    </w:rPr>
  </w:style>
  <w:style w:type="paragraph" w:styleId="NormalWeb">
    <w:name w:val="Normal (Web)"/>
    <w:basedOn w:val="Normal"/>
    <w:uiPriority w:val="99"/>
    <w:semiHidden/>
    <w:unhideWhenUsed/>
    <w:rsid w:val="00224C0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FootnoteText">
    <w:name w:val="footnote text"/>
    <w:aliases w:val="Tekst przypisu- dokt,Char Char Char,Char,Char Char Char Char Char Char Char Char Char,Char Char Char Char Char Char Char Char Char Char Char,Char Char Ch,Text poznámky pod čiarou 007,_Poznámka pod čiarou,_Poznámka pod ciarou,Cha"/>
    <w:basedOn w:val="Normal"/>
    <w:link w:val="FootnoteTextChar"/>
    <w:qFormat/>
    <w:rsid w:val="00AB1957"/>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aliases w:val="Tekst przypisu- dokt Char,Char Char Char Char,Char Char,Char Char Char Char Char Char Char Char Char Char,Char Char Char Char Char Char Char Char Char Char Char Char,Char Char Ch Char,Text poznámky pod čiarou 007 Char,Cha Char"/>
    <w:basedOn w:val="DefaultParagraphFont"/>
    <w:link w:val="FootnoteText"/>
    <w:qFormat/>
    <w:rsid w:val="00AB1957"/>
    <w:rPr>
      <w:rFonts w:ascii="Times New Roman" w:eastAsia="Times New Roman" w:hAnsi="Times New Roman" w:cs="Times New Roman"/>
      <w:sz w:val="20"/>
      <w:szCs w:val="20"/>
      <w:lang w:val="fr-FR"/>
    </w:rPr>
  </w:style>
  <w:style w:type="character" w:styleId="FootnoteReference">
    <w:name w:val="footnote reference"/>
    <w:aliases w:val="Footnote Refernece Char Char,Footnote symbol,Times 10 Point,Exposant 3 Point,Footnote Refernece,nota pié di pagina,BVI fnr,ftref,Footnotes refss,Fussnota,Footnote reference number,EN Footnote Reference,note TESI,o"/>
    <w:link w:val="FootnoteReferneceChar"/>
    <w:uiPriority w:val="99"/>
    <w:qFormat/>
    <w:rsid w:val="00AB1957"/>
    <w:rPr>
      <w:vertAlign w:val="superscript"/>
    </w:rPr>
  </w:style>
  <w:style w:type="paragraph" w:customStyle="1" w:styleId="FootnoteReferneceChar">
    <w:name w:val="Footnote Refernece Char"/>
    <w:basedOn w:val="FootnoteText"/>
    <w:link w:val="FootnoteReference"/>
    <w:uiPriority w:val="99"/>
    <w:rsid w:val="00AB1957"/>
    <w:pPr>
      <w:spacing w:after="0" w:line="240" w:lineRule="exact"/>
      <w:ind w:left="0" w:firstLine="0"/>
      <w:jc w:val="left"/>
    </w:pPr>
    <w:rPr>
      <w:rFonts w:asciiTheme="minorHAnsi" w:eastAsiaTheme="minorHAnsi" w:hAnsiTheme="minorHAnsi" w:cstheme="minorBidi"/>
      <w:sz w:val="22"/>
      <w:szCs w:val="22"/>
      <w:vertAlign w:val="superscript"/>
      <w:lang w:val="bg-BG"/>
    </w:rPr>
  </w:style>
</w:styles>
</file>

<file path=word/webSettings.xml><?xml version="1.0" encoding="utf-8"?>
<w:webSettings xmlns:r="http://schemas.openxmlformats.org/officeDocument/2006/relationships" xmlns:w="http://schemas.openxmlformats.org/wordprocessingml/2006/main">
  <w:divs>
    <w:div w:id="723530844">
      <w:bodyDiv w:val="1"/>
      <w:marLeft w:val="0"/>
      <w:marRight w:val="0"/>
      <w:marTop w:val="0"/>
      <w:marBottom w:val="0"/>
      <w:divBdr>
        <w:top w:val="none" w:sz="0" w:space="0" w:color="auto"/>
        <w:left w:val="none" w:sz="0" w:space="0" w:color="auto"/>
        <w:bottom w:val="none" w:sz="0" w:space="0" w:color="auto"/>
        <w:right w:val="none" w:sz="0" w:space="0" w:color="auto"/>
      </w:divBdr>
    </w:div>
    <w:div w:id="116983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social/main.jsp?catId=1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un.org/sustainabledevelopment/sustainable-development-goal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rategy.bg/PublicConsultations/View.aspx?lang=bg-BG&amp;Id=468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c.europa.eu/education/policies/european-policy-cooperation/et2020-framework_bg" TargetMode="External"/><Relationship Id="rId4" Type="http://schemas.openxmlformats.org/officeDocument/2006/relationships/webSettings" Target="webSettings.xml"/><Relationship Id="rId9" Type="http://schemas.openxmlformats.org/officeDocument/2006/relationships/hyperlink" Target="https://www.educacionyfp.gob.es/inee/dam/jcr:009d2726-d54e-4238-9cfd-5a5dd98bbaab/volume-1-2018-education-and-training-monitor-country-analysis.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4</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Asparuh Dikov</dc:creator>
  <cp:lastModifiedBy>User</cp:lastModifiedBy>
  <cp:revision>17</cp:revision>
  <cp:lastPrinted>2019-10-25T09:06:00Z</cp:lastPrinted>
  <dcterms:created xsi:type="dcterms:W3CDTF">2019-12-29T09:38:00Z</dcterms:created>
  <dcterms:modified xsi:type="dcterms:W3CDTF">2019-12-29T20:57:00Z</dcterms:modified>
</cp:coreProperties>
</file>